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57a6e636d8f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428"/>
        <w:gridCol w:w="5220"/>
      </w:tblGrid>
      <w:tr w:rsidR="000F4659" w:rsidRPr="001630E3" w:rsidTr="00C43337">
        <w:tc>
          <w:tcPr>
            <w:tcW w:w="4428" w:type="dxa"/>
          </w:tcPr>
          <w:p w:rsidR="000F4659" w:rsidRPr="001630E3" w:rsidRDefault="000F4659" w:rsidP="00C43337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>CÔNG TY CỔ PHẦN SÁCH VÀ THIẾT BỊ TRƯỜNG HỌC ĐÀ NẴNG</w:t>
            </w:r>
          </w:p>
          <w:p w:rsidR="000F4659" w:rsidRPr="00A61D8A" w:rsidRDefault="000F4659" w:rsidP="00C43337">
            <w:pPr>
              <w:jc w:val="center"/>
            </w:pPr>
            <w:r>
              <w:t>------------------------</w:t>
            </w:r>
          </w:p>
          <w:p w:rsidR="000F4659" w:rsidRPr="001630E3" w:rsidRDefault="000F4659" w:rsidP="00C4333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>: 10</w:t>
            </w:r>
            <w:r w:rsidRPr="001630E3">
              <w:rPr>
                <w:b/>
                <w:sz w:val="22"/>
                <w:szCs w:val="22"/>
              </w:rPr>
              <w:t>/NQ/HĐQT</w:t>
            </w:r>
          </w:p>
        </w:tc>
        <w:tc>
          <w:tcPr>
            <w:tcW w:w="5220" w:type="dxa"/>
          </w:tcPr>
          <w:p w:rsidR="000F4659" w:rsidRPr="001630E3" w:rsidRDefault="000F4659" w:rsidP="00C43337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630E3">
                  <w:rPr>
                    <w:rFonts w:ascii="Times New Roman" w:hAnsi="Times New Roman"/>
                    <w:b/>
                    <w:i w:val="0"/>
                    <w:sz w:val="22"/>
                    <w:szCs w:val="22"/>
                  </w:rPr>
                  <w:t>NAM</w:t>
                </w:r>
              </w:smartTag>
            </w:smartTag>
          </w:p>
          <w:p w:rsidR="000F4659" w:rsidRPr="001630E3" w:rsidRDefault="000F4659" w:rsidP="00C43337">
            <w:pPr>
              <w:pBdr>
                <w:bottom w:val="single" w:sz="6" w:space="1" w:color="auto"/>
              </w:pBdr>
              <w:jc w:val="center"/>
              <w:rPr>
                <w:rFonts w:ascii="VNtimes new roman" w:hAnsi="VNtimes new roman"/>
                <w:b/>
                <w:sz w:val="22"/>
                <w:szCs w:val="22"/>
              </w:rPr>
            </w:pP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Âäüc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láûp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Tæû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Haûûnh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phuïc</w:t>
            </w:r>
            <w:proofErr w:type="spellEnd"/>
          </w:p>
          <w:p w:rsidR="000F4659" w:rsidRDefault="000F4659" w:rsidP="00C4333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F4659" w:rsidRPr="00470371" w:rsidRDefault="000F4659" w:rsidP="00C4333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Đà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Nẵng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23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tháng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01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2014</w:t>
            </w:r>
          </w:p>
        </w:tc>
      </w:tr>
    </w:tbl>
    <w:p w:rsidR="000F4659" w:rsidRDefault="000F4659" w:rsidP="000F4659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</w:p>
    <w:p w:rsidR="000F4659" w:rsidRDefault="000F4659" w:rsidP="000F4659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  <w:r>
        <w:rPr>
          <w:rFonts w:ascii="VNtimes new roman" w:hAnsi="VNtimes new roman"/>
          <w:b/>
          <w:i w:val="0"/>
          <w:sz w:val="28"/>
        </w:rPr>
        <w:t>NGHË QUYÃÚT CUÍA HÄÜI ÂÄÖNG QUAÍN TRË</w:t>
      </w:r>
    </w:p>
    <w:p w:rsidR="000F4659" w:rsidRDefault="000F4659" w:rsidP="000F4659">
      <w:pPr>
        <w:rPr>
          <w:b/>
          <w:i/>
          <w:iCs/>
        </w:rPr>
      </w:pPr>
    </w:p>
    <w:p w:rsidR="000F4659" w:rsidRDefault="000F4659" w:rsidP="000F4659">
      <w:pPr>
        <w:ind w:firstLine="720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Trường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Nẵng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nhiệm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kỳ</w:t>
      </w:r>
      <w:proofErr w:type="spellEnd"/>
      <w:r>
        <w:rPr>
          <w:iCs/>
        </w:rPr>
        <w:t xml:space="preserve"> 2012 - 2017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mười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lúc</w:t>
      </w:r>
      <w:proofErr w:type="spellEnd"/>
      <w:r>
        <w:rPr>
          <w:iCs/>
        </w:rPr>
        <w:t xml:space="preserve"> 8 </w:t>
      </w:r>
      <w:proofErr w:type="spellStart"/>
      <w:r>
        <w:rPr>
          <w:iCs/>
        </w:rPr>
        <w:t>giờ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23 </w:t>
      </w:r>
      <w:proofErr w:type="spellStart"/>
      <w:r>
        <w:rPr>
          <w:iCs/>
        </w:rPr>
        <w:t>tháng</w:t>
      </w:r>
      <w:proofErr w:type="spellEnd"/>
      <w:r>
        <w:rPr>
          <w:iCs/>
        </w:rPr>
        <w:t xml:space="preserve"> 01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2014;</w:t>
      </w:r>
    </w:p>
    <w:p w:rsidR="000F4659" w:rsidRDefault="000F4659" w:rsidP="000F4659">
      <w:pPr>
        <w:rPr>
          <w:iCs/>
        </w:rPr>
      </w:pPr>
      <w:r>
        <w:rPr>
          <w:iCs/>
        </w:rPr>
        <w:tab/>
      </w:r>
    </w:p>
    <w:p w:rsidR="000F4659" w:rsidRDefault="000F4659" w:rsidP="000F4659">
      <w:pPr>
        <w:ind w:firstLine="720"/>
        <w:rPr>
          <w:iCs/>
        </w:rPr>
      </w:pP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dự</w:t>
      </w:r>
      <w:proofErr w:type="spellEnd"/>
      <w:r>
        <w:rPr>
          <w:iCs/>
        </w:rPr>
        <w:t xml:space="preserve">: </w:t>
      </w:r>
    </w:p>
    <w:p w:rsidR="000F4659" w:rsidRDefault="000F4659" w:rsidP="000F4659">
      <w:pPr>
        <w:ind w:firstLine="720"/>
        <w:rPr>
          <w:iCs/>
        </w:rPr>
      </w:pP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5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gồm</w:t>
      </w:r>
      <w:proofErr w:type="spellEnd"/>
      <w:r>
        <w:rPr>
          <w:iCs/>
        </w:rPr>
        <w:t>:</w:t>
      </w:r>
    </w:p>
    <w:p w:rsidR="000F4659" w:rsidRDefault="000F4659" w:rsidP="000F4659">
      <w:pPr>
        <w:numPr>
          <w:ilvl w:val="0"/>
          <w:numId w:val="1"/>
        </w:numPr>
        <w:rPr>
          <w:iCs/>
        </w:rPr>
      </w:pP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NGUYỄN VĂN CẦN,            </w:t>
      </w:r>
      <w:proofErr w:type="spellStart"/>
      <w:r>
        <w:rPr>
          <w:iCs/>
        </w:rPr>
        <w:t>Chủ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tịch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</w:p>
    <w:p w:rsidR="000F4659" w:rsidRDefault="000F4659" w:rsidP="000F4659">
      <w:pPr>
        <w:numPr>
          <w:ilvl w:val="0"/>
          <w:numId w:val="1"/>
        </w:numPr>
        <w:rPr>
          <w:iCs/>
        </w:rPr>
      </w:pPr>
      <w:proofErr w:type="spellStart"/>
      <w:r w:rsidRPr="00825CC3">
        <w:rPr>
          <w:iCs/>
        </w:rPr>
        <w:t>Ông</w:t>
      </w:r>
      <w:proofErr w:type="spellEnd"/>
      <w:r w:rsidRPr="00825CC3">
        <w:rPr>
          <w:iCs/>
        </w:rPr>
        <w:t xml:space="preserve"> LÊ MẠNH,</w:t>
      </w:r>
      <w:r w:rsidRPr="00825CC3">
        <w:rPr>
          <w:iCs/>
        </w:rPr>
        <w:tab/>
      </w:r>
      <w:r w:rsidRPr="00825CC3">
        <w:rPr>
          <w:iCs/>
        </w:rPr>
        <w:tab/>
      </w:r>
      <w:r w:rsidRPr="00825CC3">
        <w:rPr>
          <w:iCs/>
        </w:rPr>
        <w:tab/>
        <w:t xml:space="preserve">  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</w:p>
    <w:p w:rsidR="000F4659" w:rsidRDefault="000F4659" w:rsidP="000F4659">
      <w:pPr>
        <w:numPr>
          <w:ilvl w:val="0"/>
          <w:numId w:val="1"/>
        </w:numPr>
        <w:rPr>
          <w:iCs/>
        </w:rPr>
      </w:pPr>
      <w:proofErr w:type="spellStart"/>
      <w:r w:rsidRPr="00825CC3">
        <w:rPr>
          <w:iCs/>
        </w:rPr>
        <w:t>Bà</w:t>
      </w:r>
      <w:proofErr w:type="spellEnd"/>
      <w:r w:rsidRPr="00825CC3">
        <w:rPr>
          <w:iCs/>
        </w:rPr>
        <w:t xml:space="preserve"> TRẦN THÁI THUẬN, </w:t>
      </w:r>
      <w:r>
        <w:rPr>
          <w:iCs/>
        </w:rPr>
        <w:t xml:space="preserve">            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</w:p>
    <w:p w:rsidR="000F4659" w:rsidRDefault="000F4659" w:rsidP="000F4659">
      <w:pPr>
        <w:numPr>
          <w:ilvl w:val="0"/>
          <w:numId w:val="1"/>
        </w:numPr>
        <w:rPr>
          <w:iCs/>
        </w:rPr>
      </w:pPr>
      <w:proofErr w:type="spellStart"/>
      <w:r w:rsidRPr="00825CC3">
        <w:rPr>
          <w:iCs/>
        </w:rPr>
        <w:t>Ông</w:t>
      </w:r>
      <w:proofErr w:type="spellEnd"/>
      <w:r w:rsidRPr="00825CC3">
        <w:rPr>
          <w:iCs/>
        </w:rPr>
        <w:t xml:space="preserve"> HOÀNG NGỌC LỘC,</w:t>
      </w:r>
      <w:r w:rsidRPr="00825CC3">
        <w:rPr>
          <w:iCs/>
        </w:rPr>
        <w:tab/>
        <w:t xml:space="preserve">  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</w:p>
    <w:p w:rsidR="000F4659" w:rsidRDefault="000F4659" w:rsidP="000F4659">
      <w:pPr>
        <w:numPr>
          <w:ilvl w:val="0"/>
          <w:numId w:val="1"/>
        </w:numPr>
        <w:rPr>
          <w:iCs/>
        </w:rPr>
      </w:pP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HỒ HƠN,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</w:p>
    <w:p w:rsidR="000F4659" w:rsidRDefault="000F4659" w:rsidP="000F4659">
      <w:pPr>
        <w:ind w:firstLine="709"/>
        <w:rPr>
          <w:iCs/>
        </w:rPr>
      </w:pPr>
      <w:r>
        <w:rPr>
          <w:iCs/>
        </w:rPr>
        <w:t xml:space="preserve"> </w:t>
      </w: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3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gồm</w:t>
      </w:r>
      <w:proofErr w:type="spellEnd"/>
      <w:r>
        <w:rPr>
          <w:iCs/>
        </w:rPr>
        <w:t>:</w:t>
      </w:r>
    </w:p>
    <w:p w:rsidR="000F4659" w:rsidRDefault="000F4659" w:rsidP="000F4659">
      <w:pPr>
        <w:numPr>
          <w:ilvl w:val="0"/>
          <w:numId w:val="2"/>
        </w:numPr>
        <w:ind w:left="1843" w:hanging="425"/>
        <w:rPr>
          <w:iCs/>
        </w:rPr>
      </w:pP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KHƯƠNG TỊNH                     </w:t>
      </w:r>
      <w:proofErr w:type="spellStart"/>
      <w:r>
        <w:rPr>
          <w:iCs/>
        </w:rPr>
        <w:t>Trưởng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</w:p>
    <w:p w:rsidR="000F4659" w:rsidRDefault="000F4659" w:rsidP="000F4659">
      <w:pPr>
        <w:numPr>
          <w:ilvl w:val="0"/>
          <w:numId w:val="2"/>
        </w:numPr>
        <w:ind w:left="1843" w:hanging="425"/>
        <w:rPr>
          <w:iCs/>
        </w:rPr>
      </w:pP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HUỲNH NGUYÊN VĂN      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</w:p>
    <w:p w:rsidR="000F4659" w:rsidRDefault="000F4659" w:rsidP="000F4659">
      <w:pPr>
        <w:numPr>
          <w:ilvl w:val="0"/>
          <w:numId w:val="2"/>
        </w:numPr>
        <w:ind w:left="1843" w:hanging="425"/>
        <w:rPr>
          <w:iCs/>
        </w:rPr>
      </w:pPr>
      <w:proofErr w:type="spellStart"/>
      <w:r>
        <w:rPr>
          <w:iCs/>
        </w:rPr>
        <w:t>Bà</w:t>
      </w:r>
      <w:proofErr w:type="spellEnd"/>
      <w:r>
        <w:rPr>
          <w:iCs/>
        </w:rPr>
        <w:t xml:space="preserve"> KIỀU THỊ KHÁNH PHƯƠNG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</w:p>
    <w:p w:rsidR="000F4659" w:rsidRDefault="000F4659" w:rsidP="000F4659">
      <w:pPr>
        <w:ind w:left="1843"/>
        <w:rPr>
          <w:iCs/>
        </w:rPr>
      </w:pPr>
    </w:p>
    <w:p w:rsidR="000F4659" w:rsidRDefault="000F4659" w:rsidP="000F4659">
      <w:pPr>
        <w:ind w:firstLine="709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xét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tài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chính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tình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hình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do </w:t>
      </w:r>
      <w:proofErr w:type="spellStart"/>
      <w:r>
        <w:rPr>
          <w:iCs/>
        </w:rPr>
        <w:t>giám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đốc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trình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thảo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luận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đến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thống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nghị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quyết</w:t>
      </w:r>
      <w:proofErr w:type="spellEnd"/>
      <w:r>
        <w:rPr>
          <w:iCs/>
        </w:rPr>
        <w:t>:</w:t>
      </w:r>
    </w:p>
    <w:p w:rsidR="000F4659" w:rsidRDefault="000F4659" w:rsidP="000F4659">
      <w:pPr>
        <w:ind w:firstLine="709"/>
        <w:rPr>
          <w:iCs/>
        </w:rPr>
      </w:pPr>
      <w:proofErr w:type="gramStart"/>
      <w:r>
        <w:rPr>
          <w:iCs/>
        </w:rPr>
        <w:t xml:space="preserve">1/ </w:t>
      </w:r>
      <w:proofErr w:type="spellStart"/>
      <w:r>
        <w:rPr>
          <w:iCs/>
        </w:rPr>
        <w:t>T</w:t>
      </w:r>
      <w:r w:rsidRPr="00B812F4">
        <w:rPr>
          <w:iCs/>
        </w:rPr>
        <w:t>h</w:t>
      </w:r>
      <w:r>
        <w:rPr>
          <w:iCs/>
        </w:rPr>
        <w:t>ông</w:t>
      </w:r>
      <w:proofErr w:type="spellEnd"/>
      <w:r>
        <w:rPr>
          <w:iCs/>
        </w:rPr>
        <w:t xml:space="preserve"> qua </w:t>
      </w:r>
      <w:proofErr w:type="spellStart"/>
      <w:r>
        <w:rPr>
          <w:iCs/>
        </w:rPr>
        <w:t>Báo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quyết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toán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quí</w:t>
      </w:r>
      <w:proofErr w:type="spellEnd"/>
      <w:r>
        <w:rPr>
          <w:iCs/>
        </w:rPr>
        <w:t xml:space="preserve"> 4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2013 (</w:t>
      </w:r>
      <w:proofErr w:type="spellStart"/>
      <w:r>
        <w:rPr>
          <w:iCs/>
        </w:rPr>
        <w:t>chưa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được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toán</w:t>
      </w:r>
      <w:proofErr w:type="spellEnd"/>
      <w:r>
        <w:rPr>
          <w:iCs/>
        </w:rPr>
        <w:t>).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chỉ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tiêu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chủ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yếu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tbl>
      <w:tblPr>
        <w:tblW w:w="718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35"/>
        <w:gridCol w:w="2035"/>
      </w:tblGrid>
      <w:tr w:rsidR="000F4659" w:rsidRPr="00C52E72" w:rsidTr="00C433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4659" w:rsidRDefault="000F4659" w:rsidP="00C43337">
            <w:pPr>
              <w:rPr>
                <w:iCs/>
              </w:rPr>
            </w:pPr>
          </w:p>
          <w:p w:rsidR="000F4659" w:rsidRPr="00C52E72" w:rsidRDefault="000F4659" w:rsidP="00C43337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Doanh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thuần</w:t>
            </w:r>
            <w:proofErr w:type="spellEnd"/>
          </w:p>
          <w:p w:rsidR="000F4659" w:rsidRPr="00C52E72" w:rsidRDefault="000F4659" w:rsidP="00C43337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Lợi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nhuận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trước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thuế</w:t>
            </w:r>
            <w:proofErr w:type="spellEnd"/>
          </w:p>
          <w:p w:rsidR="000F4659" w:rsidRDefault="000F4659" w:rsidP="00C43337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Lợi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nhuận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sau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thuế</w:t>
            </w:r>
            <w:proofErr w:type="spellEnd"/>
          </w:p>
          <w:p w:rsidR="000F4659" w:rsidRPr="00C52E72" w:rsidRDefault="000F4659" w:rsidP="00C43337">
            <w:pPr>
              <w:rPr>
                <w:iCs/>
              </w:rPr>
            </w:pPr>
            <w:proofErr w:type="spellStart"/>
            <w:r>
              <w:rPr>
                <w:iCs/>
              </w:rPr>
              <w:t>Lãi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cơ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bản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trên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cổ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phiếu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F4659" w:rsidRDefault="000F4659" w:rsidP="00C4333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quí</w:t>
            </w:r>
            <w:proofErr w:type="spellEnd"/>
            <w:r>
              <w:rPr>
                <w:iCs/>
              </w:rPr>
              <w:t xml:space="preserve"> 4 </w:t>
            </w:r>
            <w:proofErr w:type="spellStart"/>
            <w:r>
              <w:rPr>
                <w:iCs/>
              </w:rPr>
              <w:t>năm</w:t>
            </w:r>
            <w:proofErr w:type="spellEnd"/>
            <w:r>
              <w:rPr>
                <w:iCs/>
              </w:rPr>
              <w:t xml:space="preserve"> 2013</w:t>
            </w:r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>
              <w:rPr>
                <w:iCs/>
              </w:rPr>
              <w:t>10.151</w:t>
            </w:r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 w:rsidRPr="00C52E72">
              <w:rPr>
                <w:iCs/>
              </w:rPr>
              <w:t xml:space="preserve"> </w:t>
            </w:r>
            <w:r>
              <w:rPr>
                <w:iCs/>
              </w:rPr>
              <w:t xml:space="preserve">2.104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Default="000F4659" w:rsidP="00C43337">
            <w:pPr>
              <w:jc w:val="right"/>
              <w:rPr>
                <w:iCs/>
              </w:rPr>
            </w:pPr>
            <w:r w:rsidRPr="00C52E72">
              <w:rPr>
                <w:iCs/>
              </w:rPr>
              <w:t xml:space="preserve"> </w:t>
            </w:r>
            <w:r>
              <w:rPr>
                <w:iCs/>
              </w:rPr>
              <w:t xml:space="preserve">1.761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right"/>
              <w:rPr>
                <w:i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F4659" w:rsidRDefault="000F4659" w:rsidP="00C4333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năm</w:t>
            </w:r>
            <w:proofErr w:type="spellEnd"/>
            <w:r>
              <w:rPr>
                <w:iCs/>
              </w:rPr>
              <w:t xml:space="preserve"> 2013</w:t>
            </w:r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>
              <w:rPr>
                <w:iCs/>
              </w:rPr>
              <w:t>73.641</w:t>
            </w:r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 w:rsidRPr="00C52E72">
              <w:rPr>
                <w:iCs/>
              </w:rPr>
              <w:t xml:space="preserve"> </w:t>
            </w:r>
            <w:r>
              <w:rPr>
                <w:iCs/>
              </w:rPr>
              <w:t xml:space="preserve">5.293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Default="000F4659" w:rsidP="00C43337">
            <w:pPr>
              <w:jc w:val="right"/>
              <w:rPr>
                <w:iCs/>
              </w:rPr>
            </w:pPr>
            <w:r w:rsidRPr="00C52E72">
              <w:rPr>
                <w:iCs/>
              </w:rPr>
              <w:t xml:space="preserve"> </w:t>
            </w:r>
            <w:r>
              <w:rPr>
                <w:iCs/>
              </w:rPr>
              <w:t xml:space="preserve">4.333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>
              <w:rPr>
                <w:iCs/>
              </w:rPr>
              <w:t xml:space="preserve">1.445 </w:t>
            </w:r>
            <w:proofErr w:type="spellStart"/>
            <w:r>
              <w:rPr>
                <w:iCs/>
              </w:rPr>
              <w:t>đồng</w:t>
            </w:r>
            <w:proofErr w:type="spellEnd"/>
            <w:r>
              <w:rPr>
                <w:iCs/>
              </w:rPr>
              <w:t>/CP</w:t>
            </w:r>
          </w:p>
        </w:tc>
      </w:tr>
    </w:tbl>
    <w:p w:rsidR="000F4659" w:rsidRDefault="000F4659" w:rsidP="000F4659">
      <w:pPr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 xml:space="preserve">2/ </w:t>
      </w:r>
      <w:proofErr w:type="spellStart"/>
      <w:r>
        <w:rPr>
          <w:iCs/>
        </w:rPr>
        <w:t>Thông</w:t>
      </w:r>
      <w:proofErr w:type="spellEnd"/>
      <w:r>
        <w:rPr>
          <w:iCs/>
        </w:rPr>
        <w:t xml:space="preserve"> qua </w:t>
      </w:r>
      <w:proofErr w:type="spellStart"/>
      <w:r>
        <w:rPr>
          <w:iCs/>
        </w:rPr>
        <w:t>kế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hoạch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xuất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doanh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2014.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chỉ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tiêu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chủ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yếu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53"/>
        <w:gridCol w:w="1564"/>
        <w:gridCol w:w="302"/>
        <w:gridCol w:w="1231"/>
        <w:gridCol w:w="1419"/>
        <w:gridCol w:w="1679"/>
      </w:tblGrid>
      <w:tr w:rsidR="000F4659" w:rsidRPr="00C52E72" w:rsidTr="00C43337">
        <w:trPr>
          <w:gridBefore w:val="1"/>
          <w:gridAfter w:val="1"/>
          <w:wBefore w:w="1809" w:type="dxa"/>
          <w:wAfter w:w="1679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659" w:rsidRDefault="000F4659" w:rsidP="00C43337">
            <w:pPr>
              <w:rPr>
                <w:iCs/>
              </w:rPr>
            </w:pPr>
            <w:proofErr w:type="spellStart"/>
            <w:r>
              <w:rPr>
                <w:iCs/>
              </w:rPr>
              <w:t>Vốn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điều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lệ</w:t>
            </w:r>
            <w:proofErr w:type="spellEnd"/>
          </w:p>
          <w:p w:rsidR="000F4659" w:rsidRPr="00C52E72" w:rsidRDefault="000F4659" w:rsidP="00C43337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Doanh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thuần</w:t>
            </w:r>
            <w:proofErr w:type="spellEnd"/>
          </w:p>
          <w:p w:rsidR="000F4659" w:rsidRPr="00C52E72" w:rsidRDefault="000F4659" w:rsidP="00C43337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Lợi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nhuận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trước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thuế</w:t>
            </w:r>
            <w:proofErr w:type="spellEnd"/>
          </w:p>
          <w:p w:rsidR="000F4659" w:rsidRDefault="000F4659" w:rsidP="00C43337">
            <w:pPr>
              <w:rPr>
                <w:iCs/>
              </w:rPr>
            </w:pPr>
            <w:proofErr w:type="spellStart"/>
            <w:r>
              <w:rPr>
                <w:iCs/>
              </w:rPr>
              <w:t>Thuế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nhập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doanh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nghiệp</w:t>
            </w:r>
            <w:proofErr w:type="spellEnd"/>
          </w:p>
          <w:p w:rsidR="000F4659" w:rsidRDefault="000F4659" w:rsidP="00C43337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Lợi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nhuận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sau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thuế</w:t>
            </w:r>
            <w:proofErr w:type="spellEnd"/>
          </w:p>
          <w:p w:rsidR="000F4659" w:rsidRDefault="000F4659" w:rsidP="00C43337">
            <w:pPr>
              <w:rPr>
                <w:iCs/>
              </w:rPr>
            </w:pPr>
            <w:proofErr w:type="spellStart"/>
            <w:r>
              <w:rPr>
                <w:iCs/>
              </w:rPr>
              <w:t>Cổ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tức</w:t>
            </w:r>
            <w:proofErr w:type="spellEnd"/>
          </w:p>
          <w:p w:rsidR="000F4659" w:rsidRPr="00C52E72" w:rsidRDefault="000F4659" w:rsidP="00C43337">
            <w:pPr>
              <w:rPr>
                <w:iCs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659" w:rsidRDefault="000F4659" w:rsidP="00C43337">
            <w:pPr>
              <w:jc w:val="right"/>
              <w:rPr>
                <w:iCs/>
              </w:rPr>
            </w:pPr>
            <w:r>
              <w:rPr>
                <w:iCs/>
              </w:rPr>
              <w:t xml:space="preserve">30.000   </w:t>
            </w:r>
            <w:proofErr w:type="spellStart"/>
            <w:r>
              <w:rPr>
                <w:iCs/>
              </w:rPr>
              <w:t>triệu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>
              <w:rPr>
                <w:iCs/>
              </w:rPr>
              <w:t xml:space="preserve">70.000  </w:t>
            </w:r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right"/>
              <w:rPr>
                <w:iCs/>
              </w:rPr>
            </w:pPr>
            <w:r w:rsidRPr="00C52E72">
              <w:rPr>
                <w:iCs/>
              </w:rPr>
              <w:t xml:space="preserve"> </w:t>
            </w:r>
            <w:r>
              <w:rPr>
                <w:iCs/>
              </w:rPr>
              <w:t xml:space="preserve">5.200  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Default="000F4659" w:rsidP="00C43337">
            <w:pPr>
              <w:jc w:val="right"/>
              <w:rPr>
                <w:iCs/>
              </w:rPr>
            </w:pPr>
            <w:r>
              <w:rPr>
                <w:iCs/>
              </w:rPr>
              <w:t xml:space="preserve">866,8 </w:t>
            </w:r>
            <w:proofErr w:type="spellStart"/>
            <w:r>
              <w:rPr>
                <w:iCs/>
              </w:rPr>
              <w:t>triệu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đồng</w:t>
            </w:r>
            <w:proofErr w:type="spellEnd"/>
          </w:p>
          <w:p w:rsidR="000F4659" w:rsidRDefault="000F4659" w:rsidP="00C43337">
            <w:pPr>
              <w:jc w:val="right"/>
              <w:rPr>
                <w:iCs/>
              </w:rPr>
            </w:pPr>
            <w:r w:rsidRPr="00C52E72">
              <w:rPr>
                <w:iCs/>
              </w:rPr>
              <w:t xml:space="preserve"> </w:t>
            </w:r>
            <w:r>
              <w:rPr>
                <w:iCs/>
              </w:rPr>
              <w:t xml:space="preserve">4.333,2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0F4659" w:rsidRPr="00C52E72" w:rsidRDefault="000F4659" w:rsidP="00C43337">
            <w:pPr>
              <w:jc w:val="center"/>
              <w:rPr>
                <w:iCs/>
              </w:rPr>
            </w:pPr>
            <w:r>
              <w:rPr>
                <w:iCs/>
              </w:rPr>
              <w:t>12%</w:t>
            </w:r>
          </w:p>
        </w:tc>
      </w:tr>
      <w:tr w:rsidR="000F4659" w:rsidTr="00C4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062" w:type="dxa"/>
            <w:gridSpan w:val="2"/>
          </w:tcPr>
          <w:p w:rsidR="000F4659" w:rsidRDefault="000F4659" w:rsidP="00C4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Pr="00BC5C50" w:rsidRDefault="000F4659" w:rsidP="00C43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HỒ HƠN</w:t>
            </w:r>
          </w:p>
        </w:tc>
        <w:tc>
          <w:tcPr>
            <w:tcW w:w="3097" w:type="dxa"/>
            <w:gridSpan w:val="3"/>
          </w:tcPr>
          <w:p w:rsidR="000F4659" w:rsidRDefault="000F4659" w:rsidP="00C4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Pr="00BC5C50" w:rsidRDefault="000F4659" w:rsidP="00C43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TRẦN THÁI THUẬN</w:t>
            </w:r>
          </w:p>
        </w:tc>
        <w:tc>
          <w:tcPr>
            <w:tcW w:w="3098" w:type="dxa"/>
            <w:gridSpan w:val="2"/>
          </w:tcPr>
          <w:p w:rsidR="000F4659" w:rsidRDefault="000F4659" w:rsidP="00C4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Pr="00BC5C50" w:rsidRDefault="000F4659" w:rsidP="00C43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LÊ MẠNH</w:t>
            </w:r>
          </w:p>
        </w:tc>
      </w:tr>
      <w:tr w:rsidR="000F4659" w:rsidTr="00C4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626" w:type="dxa"/>
            <w:gridSpan w:val="3"/>
          </w:tcPr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Pr="00BC5C50" w:rsidRDefault="000F4659" w:rsidP="00C43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HOÀNG NGỌC LỘC</w:t>
            </w:r>
          </w:p>
        </w:tc>
        <w:tc>
          <w:tcPr>
            <w:tcW w:w="4631" w:type="dxa"/>
            <w:gridSpan w:val="4"/>
          </w:tcPr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CHỦ TỊCH HĐQT</w:t>
            </w:r>
          </w:p>
          <w:p w:rsidR="000F4659" w:rsidRDefault="000F4659" w:rsidP="00C4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Default="000F4659" w:rsidP="00C43337">
            <w:pPr>
              <w:jc w:val="center"/>
              <w:rPr>
                <w:sz w:val="22"/>
              </w:rPr>
            </w:pPr>
          </w:p>
          <w:p w:rsidR="000F4659" w:rsidRPr="00BC5C50" w:rsidRDefault="000F4659" w:rsidP="00C43337">
            <w:pPr>
              <w:jc w:val="center"/>
              <w:rPr>
                <w:b/>
                <w:sz w:val="20"/>
                <w:szCs w:val="20"/>
              </w:rPr>
            </w:pPr>
            <w:r w:rsidRPr="00BC5C50">
              <w:rPr>
                <w:b/>
                <w:sz w:val="20"/>
                <w:szCs w:val="20"/>
              </w:rPr>
              <w:t>NGUYỄN VĂN CẦN</w:t>
            </w:r>
          </w:p>
        </w:tc>
      </w:tr>
    </w:tbl>
    <w:p w:rsidR="00575BC6" w:rsidRDefault="00575BC6" w:rsidP="000F4659"/>
    <w:sectPr w:rsidR="00575BC6" w:rsidSect="000F4659">
      <w:footerReference w:type="even" r:id="rId5"/>
      <w:footerReference w:type="default" r:id="rId6"/>
      <w:pgSz w:w="11907" w:h="16839" w:code="9"/>
      <w:pgMar w:top="720" w:right="1138" w:bottom="259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6C" w:rsidRDefault="00FA4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76C" w:rsidRDefault="00FA44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6C" w:rsidRDefault="00FA445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2BC"/>
    <w:multiLevelType w:val="hybridMultilevel"/>
    <w:tmpl w:val="4D089BCA"/>
    <w:lvl w:ilvl="0" w:tplc="3074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C315D"/>
    <w:multiLevelType w:val="hybridMultilevel"/>
    <w:tmpl w:val="04740FD4"/>
    <w:lvl w:ilvl="0" w:tplc="BB8687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659"/>
    <w:rsid w:val="000F4659"/>
    <w:rsid w:val="00575BC6"/>
    <w:rsid w:val="00FA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4659"/>
    <w:pPr>
      <w:keepNext/>
      <w:ind w:left="4320"/>
      <w:outlineLvl w:val="1"/>
    </w:pPr>
    <w:rPr>
      <w:rFonts w:ascii="VNbangkok" w:hAnsi="VNbangkok"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4659"/>
    <w:rPr>
      <w:rFonts w:ascii="VNbangkok" w:eastAsia="Times New Roman" w:hAnsi="VNbangkok" w:cs="Times New Roman"/>
      <w:i/>
      <w:iCs/>
      <w:sz w:val="26"/>
      <w:szCs w:val="20"/>
    </w:rPr>
  </w:style>
  <w:style w:type="paragraph" w:styleId="Footer">
    <w:name w:val="footer"/>
    <w:basedOn w:val="Normal"/>
    <w:link w:val="FooterChar"/>
    <w:uiPriority w:val="99"/>
    <w:rsid w:val="000F4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4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2014-01-23T08:58:00Z</dcterms:created>
  <dcterms:modified xsi:type="dcterms:W3CDTF">2014-01-23T08:58:00Z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49fb5ec295640cc8ae8fecae86d4a11.psdsxs" Id="Raedf9f7edd574508" /></Relationships>
</file>