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56944d40118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CellMar>
          <w:left w:w="10" w:type="dxa"/>
          <w:right w:w="10" w:type="dxa"/>
        </w:tblCellMar>
        <w:tblLook w:val="0000"/>
      </w:tblPr>
      <w:tblGrid>
        <w:gridCol w:w="4428"/>
        <w:gridCol w:w="5220"/>
      </w:tblGrid>
      <w:tr w:rsidR="00492E7C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7C" w:rsidRDefault="005759C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CÔNG TY CỔ PHẦN SÁCH VÀ THIẾT BỊ TRƯỜNG HỌC ĐÀ NẴNG</w:t>
            </w:r>
          </w:p>
          <w:p w:rsidR="00492E7C" w:rsidRDefault="005759C9">
            <w:pPr>
              <w:jc w:val="center"/>
            </w:pPr>
            <w:r>
              <w:t>------------------------</w:t>
            </w:r>
          </w:p>
          <w:p w:rsidR="00492E7C" w:rsidRDefault="005759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>: 06/NQ/HĐQT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7C" w:rsidRDefault="005759C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CỘNG HÒA XÃ HỘI CHỦ NGHĨA VIỆT NAM</w:t>
            </w:r>
          </w:p>
          <w:p w:rsidR="00492E7C" w:rsidRDefault="005759C9">
            <w:pPr>
              <w:pBdr>
                <w:bottom w:val="single" w:sz="6" w:space="0" w:color="000000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Độc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lập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Tư</w:t>
            </w:r>
            <w:proofErr w:type="spellEnd"/>
            <w:r>
              <w:rPr>
                <w:b/>
                <w:sz w:val="22"/>
                <w:szCs w:val="22"/>
              </w:rPr>
              <w:t xml:space="preserve">̣ do – </w:t>
            </w:r>
            <w:proofErr w:type="spellStart"/>
            <w:r>
              <w:rPr>
                <w:b/>
                <w:sz w:val="22"/>
                <w:szCs w:val="22"/>
              </w:rPr>
              <w:t>Hạnh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phúc</w:t>
            </w:r>
            <w:proofErr w:type="spellEnd"/>
          </w:p>
          <w:p w:rsidR="00492E7C" w:rsidRDefault="00492E7C">
            <w:pPr>
              <w:jc w:val="center"/>
              <w:rPr>
                <w:i/>
                <w:sz w:val="22"/>
                <w:szCs w:val="22"/>
              </w:rPr>
            </w:pPr>
          </w:p>
          <w:p w:rsidR="00492E7C" w:rsidRDefault="005759C9">
            <w:pPr>
              <w:jc w:val="center"/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Đà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Nẵng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ngày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23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tháng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04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năm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2013</w:t>
            </w:r>
          </w:p>
        </w:tc>
      </w:tr>
    </w:tbl>
    <w:p w:rsidR="00492E7C" w:rsidRDefault="00492E7C">
      <w:pPr>
        <w:pStyle w:val="Heading2"/>
        <w:ind w:left="0"/>
        <w:jc w:val="center"/>
        <w:rPr>
          <w:rFonts w:ascii="VNtimes new roman" w:hAnsi="VNtimes new roman"/>
          <w:b/>
          <w:i w:val="0"/>
          <w:sz w:val="28"/>
        </w:rPr>
      </w:pPr>
    </w:p>
    <w:p w:rsidR="00492E7C" w:rsidRDefault="005759C9">
      <w:pPr>
        <w:pStyle w:val="Heading2"/>
        <w:ind w:left="0"/>
        <w:jc w:val="center"/>
        <w:rPr>
          <w:rFonts w:ascii="VNtimes new roman" w:hAnsi="VNtimes new roman"/>
          <w:b/>
          <w:i w:val="0"/>
          <w:sz w:val="28"/>
        </w:rPr>
      </w:pPr>
      <w:r>
        <w:rPr>
          <w:rFonts w:ascii="VNtimes new roman" w:hAnsi="VNtimes new roman"/>
          <w:b/>
          <w:i w:val="0"/>
          <w:sz w:val="28"/>
        </w:rPr>
        <w:t>NGHË QUYÃÚT CUÍA HÄÜI ÂÄÖNG QUAÍN TRË</w:t>
      </w:r>
    </w:p>
    <w:p w:rsidR="00492E7C" w:rsidRDefault="00492E7C">
      <w:pPr>
        <w:rPr>
          <w:b/>
          <w:i/>
          <w:iCs/>
        </w:rPr>
      </w:pPr>
    </w:p>
    <w:p w:rsidR="00492E7C" w:rsidRDefault="005759C9">
      <w:pPr>
        <w:ind w:firstLine="720"/>
        <w:jc w:val="both"/>
        <w:rPr>
          <w:iCs/>
        </w:rPr>
      </w:pP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cổ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phần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Sách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Thiết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Trường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học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Nẵng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nhiệm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kỳ</w:t>
      </w:r>
      <w:proofErr w:type="spellEnd"/>
      <w:r>
        <w:rPr>
          <w:iCs/>
        </w:rPr>
        <w:t xml:space="preserve"> 2012 - 2017 </w:t>
      </w:r>
      <w:proofErr w:type="spellStart"/>
      <w:r>
        <w:rPr>
          <w:iCs/>
        </w:rPr>
        <w:t>họp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thứ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sáu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lúc</w:t>
      </w:r>
      <w:proofErr w:type="spellEnd"/>
      <w:r>
        <w:rPr>
          <w:iCs/>
        </w:rPr>
        <w:t xml:space="preserve"> 8 </w:t>
      </w:r>
      <w:proofErr w:type="spellStart"/>
      <w:r>
        <w:rPr>
          <w:iCs/>
        </w:rPr>
        <w:t>giờ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ngày</w:t>
      </w:r>
      <w:proofErr w:type="spellEnd"/>
      <w:r>
        <w:rPr>
          <w:iCs/>
        </w:rPr>
        <w:t xml:space="preserve"> 23 </w:t>
      </w:r>
      <w:proofErr w:type="spellStart"/>
      <w:r>
        <w:rPr>
          <w:iCs/>
        </w:rPr>
        <w:t>tháng</w:t>
      </w:r>
      <w:proofErr w:type="spellEnd"/>
      <w:r>
        <w:rPr>
          <w:iCs/>
        </w:rPr>
        <w:t xml:space="preserve"> 04 </w:t>
      </w:r>
      <w:proofErr w:type="spellStart"/>
      <w:r>
        <w:rPr>
          <w:iCs/>
        </w:rPr>
        <w:t>năm</w:t>
      </w:r>
      <w:proofErr w:type="spellEnd"/>
      <w:r>
        <w:rPr>
          <w:iCs/>
        </w:rPr>
        <w:t xml:space="preserve"> 2013;</w:t>
      </w:r>
    </w:p>
    <w:p w:rsidR="00492E7C" w:rsidRDefault="005759C9">
      <w:pPr>
        <w:ind w:firstLine="720"/>
        <w:jc w:val="both"/>
        <w:rPr>
          <w:iCs/>
        </w:rPr>
      </w:pP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phần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tham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dự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đủ</w:t>
      </w:r>
      <w:proofErr w:type="spellEnd"/>
      <w:r>
        <w:rPr>
          <w:iCs/>
        </w:rPr>
        <w:t xml:space="preserve"> 5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>.</w:t>
      </w:r>
    </w:p>
    <w:p w:rsidR="00492E7C" w:rsidRDefault="005759C9">
      <w:pPr>
        <w:ind w:firstLine="720"/>
        <w:jc w:val="both"/>
        <w:rPr>
          <w:iCs/>
        </w:rPr>
      </w:pPr>
      <w:proofErr w:type="spellStart"/>
      <w:r>
        <w:rPr>
          <w:iCs/>
        </w:rPr>
        <w:t>Mời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dự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đủ</w:t>
      </w:r>
      <w:proofErr w:type="spellEnd"/>
      <w:r>
        <w:rPr>
          <w:iCs/>
        </w:rPr>
        <w:t xml:space="preserve"> 3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Ban </w:t>
      </w:r>
      <w:proofErr w:type="spellStart"/>
      <w:r>
        <w:rPr>
          <w:iCs/>
        </w:rPr>
        <w:t>Kiểm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soát</w:t>
      </w:r>
      <w:proofErr w:type="spellEnd"/>
    </w:p>
    <w:p w:rsidR="00492E7C" w:rsidRDefault="005759C9">
      <w:pPr>
        <w:ind w:firstLine="709"/>
        <w:jc w:val="both"/>
        <w:rPr>
          <w:iCs/>
        </w:rPr>
      </w:pPr>
      <w:proofErr w:type="spellStart"/>
      <w:r>
        <w:rPr>
          <w:iCs/>
        </w:rPr>
        <w:t>Tại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họp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này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đã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thống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nhất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nghị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quyết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về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các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vấn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đề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sau</w:t>
      </w:r>
      <w:proofErr w:type="spellEnd"/>
      <w:r>
        <w:rPr>
          <w:iCs/>
        </w:rPr>
        <w:t>:</w:t>
      </w:r>
    </w:p>
    <w:p w:rsidR="00492E7C" w:rsidRDefault="00492E7C">
      <w:pPr>
        <w:ind w:firstLine="709"/>
        <w:jc w:val="both"/>
        <w:rPr>
          <w:iCs/>
        </w:rPr>
      </w:pPr>
    </w:p>
    <w:p w:rsidR="00492E7C" w:rsidRDefault="005759C9">
      <w:pPr>
        <w:numPr>
          <w:ilvl w:val="0"/>
          <w:numId w:val="1"/>
        </w:numPr>
        <w:ind w:left="709" w:hanging="349"/>
        <w:jc w:val="both"/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quí</w:t>
      </w:r>
      <w:proofErr w:type="spellEnd"/>
      <w:r>
        <w:t xml:space="preserve"> 1/2013,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tbl>
      <w:tblPr>
        <w:tblW w:w="5702" w:type="dxa"/>
        <w:tblInd w:w="1069" w:type="dxa"/>
        <w:tblCellMar>
          <w:left w:w="10" w:type="dxa"/>
          <w:right w:w="10" w:type="dxa"/>
        </w:tblCellMar>
        <w:tblLook w:val="0000"/>
      </w:tblPr>
      <w:tblGrid>
        <w:gridCol w:w="3150"/>
        <w:gridCol w:w="2552"/>
      </w:tblGrid>
      <w:tr w:rsidR="00492E7C">
        <w:tblPrEx>
          <w:tblCellMar>
            <w:top w:w="0" w:type="dxa"/>
            <w:bottom w:w="0" w:type="dxa"/>
          </w:tblCellMar>
        </w:tblPrEx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7C" w:rsidRDefault="005759C9">
            <w:pPr>
              <w:jc w:val="both"/>
            </w:pPr>
            <w:r>
              <w:t xml:space="preserve">           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</w:p>
          <w:p w:rsidR="00492E7C" w:rsidRDefault="005759C9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thuần</w:t>
            </w:r>
            <w:proofErr w:type="spellEnd"/>
          </w:p>
          <w:p w:rsidR="00492E7C" w:rsidRDefault="005759C9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</w:p>
          <w:p w:rsidR="00492E7C" w:rsidRDefault="005759C9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7C" w:rsidRDefault="005759C9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Đơn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tính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triệu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đồng</w:t>
            </w:r>
            <w:proofErr w:type="spellEnd"/>
          </w:p>
          <w:p w:rsidR="00492E7C" w:rsidRDefault="005759C9">
            <w:pPr>
              <w:jc w:val="right"/>
            </w:pPr>
            <w:r>
              <w:t>10.628</w:t>
            </w:r>
          </w:p>
          <w:p w:rsidR="00492E7C" w:rsidRDefault="005759C9">
            <w:pPr>
              <w:jc w:val="right"/>
            </w:pPr>
            <w:r>
              <w:t>643</w:t>
            </w:r>
          </w:p>
          <w:p w:rsidR="00492E7C" w:rsidRDefault="005759C9">
            <w:pPr>
              <w:jc w:val="right"/>
            </w:pPr>
            <w:r>
              <w:t>519</w:t>
            </w:r>
          </w:p>
        </w:tc>
      </w:tr>
    </w:tbl>
    <w:p w:rsidR="00492E7C" w:rsidRDefault="005759C9">
      <w:pPr>
        <w:numPr>
          <w:ilvl w:val="0"/>
          <w:numId w:val="1"/>
        </w:numPr>
        <w:jc w:val="both"/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2013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sau</w:t>
      </w:r>
      <w:proofErr w:type="spellEnd"/>
      <w:r>
        <w:t>:</w:t>
      </w:r>
    </w:p>
    <w:p w:rsidR="00492E7C" w:rsidRDefault="005759C9">
      <w:pPr>
        <w:numPr>
          <w:ilvl w:val="0"/>
          <w:numId w:val="2"/>
        </w:numPr>
        <w:jc w:val="both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thù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proofErr w:type="gramStart"/>
      <w:r>
        <w:t>cho</w:t>
      </w:r>
      <w:proofErr w:type="spellEnd"/>
      <w:r>
        <w:t xml:space="preserve">  </w:t>
      </w:r>
      <w:proofErr w:type="spellStart"/>
      <w:r>
        <w:t>Hội</w:t>
      </w:r>
      <w:proofErr w:type="spellEnd"/>
      <w:proofErr w:type="gram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, Ban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,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2013.</w:t>
      </w:r>
    </w:p>
    <w:p w:rsidR="00492E7C" w:rsidRDefault="005759C9">
      <w:pPr>
        <w:numPr>
          <w:ilvl w:val="0"/>
          <w:numId w:val="2"/>
        </w:numPr>
        <w:jc w:val="both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quĩ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proofErr w:type="gramStart"/>
      <w:r>
        <w:t>nguồn</w:t>
      </w:r>
      <w:proofErr w:type="spellEnd"/>
      <w:proofErr w:type="gramEnd"/>
      <w:r>
        <w:t xml:space="preserve"> </w:t>
      </w:r>
      <w:proofErr w:type="spellStart"/>
      <w:r>
        <w:t>quĩ</w:t>
      </w:r>
      <w:proofErr w:type="spellEnd"/>
      <w:r>
        <w:t xml:space="preserve"> </w:t>
      </w:r>
      <w:proofErr w:type="spellStart"/>
      <w:r>
        <w:t>thặng</w:t>
      </w:r>
      <w:proofErr w:type="spellEnd"/>
      <w:r>
        <w:t xml:space="preserve"> </w:t>
      </w:r>
      <w:proofErr w:type="spellStart"/>
      <w:r>
        <w:t>dư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, </w:t>
      </w:r>
      <w:proofErr w:type="spellStart"/>
      <w:r>
        <w:t>quĩ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(SCIC) </w:t>
      </w:r>
      <w:proofErr w:type="spellStart"/>
      <w:r>
        <w:t>thoái</w:t>
      </w:r>
      <w:proofErr w:type="spellEnd"/>
      <w:r>
        <w:t xml:space="preserve"> </w:t>
      </w:r>
      <w:proofErr w:type="spellStart"/>
      <w:r>
        <w:t>vốn</w:t>
      </w:r>
      <w:proofErr w:type="spellEnd"/>
      <w:r>
        <w:t>.</w:t>
      </w:r>
    </w:p>
    <w:p w:rsidR="00492E7C" w:rsidRDefault="005759C9">
      <w:pPr>
        <w:numPr>
          <w:ilvl w:val="0"/>
          <w:numId w:val="1"/>
        </w:numPr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Chi </w:t>
      </w:r>
      <w:proofErr w:type="spellStart"/>
      <w:r>
        <w:t>nhánh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≤ 49%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TNHH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tpHCM</w:t>
      </w:r>
      <w:proofErr w:type="spellEnd"/>
      <w:r>
        <w:t xml:space="preserve"> (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).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rã</w:t>
      </w:r>
      <w:r>
        <w:t>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>.</w:t>
      </w:r>
    </w:p>
    <w:p w:rsidR="00492E7C" w:rsidRDefault="005759C9">
      <w:pPr>
        <w:numPr>
          <w:ilvl w:val="0"/>
          <w:numId w:val="1"/>
        </w:numPr>
        <w:jc w:val="both"/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10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/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7,5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/ m</w:t>
      </w:r>
      <w:r>
        <w:rPr>
          <w:vertAlign w:val="superscript"/>
        </w:rPr>
        <w:t>2</w:t>
      </w:r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18 </w:t>
      </w:r>
      <w:proofErr w:type="spellStart"/>
      <w:r>
        <w:t>và</w:t>
      </w:r>
      <w:proofErr w:type="spellEnd"/>
      <w:r>
        <w:t xml:space="preserve"> 19, </w:t>
      </w:r>
      <w:proofErr w:type="spellStart"/>
      <w:r>
        <w:t>dãy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 C1,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Khánh</w:t>
      </w:r>
      <w:proofErr w:type="spellEnd"/>
      <w:r>
        <w:t xml:space="preserve"> Nam, </w:t>
      </w:r>
      <w:proofErr w:type="spellStart"/>
      <w:r>
        <w:t>kh</w:t>
      </w:r>
      <w:r>
        <w:t>u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Nam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Chiểu</w:t>
      </w:r>
      <w:proofErr w:type="spellEnd"/>
      <w:r>
        <w:t xml:space="preserve">.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kiêm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:rsidR="00492E7C" w:rsidRDefault="00492E7C"/>
    <w:tbl>
      <w:tblPr>
        <w:tblW w:w="9257" w:type="dxa"/>
        <w:tblCellMar>
          <w:left w:w="10" w:type="dxa"/>
          <w:right w:w="10" w:type="dxa"/>
        </w:tblCellMar>
        <w:tblLook w:val="0000"/>
      </w:tblPr>
      <w:tblGrid>
        <w:gridCol w:w="3062"/>
        <w:gridCol w:w="3097"/>
        <w:gridCol w:w="3098"/>
      </w:tblGrid>
      <w:tr w:rsidR="00492E7C">
        <w:tblPrEx>
          <w:tblCellMar>
            <w:top w:w="0" w:type="dxa"/>
            <w:bottom w:w="0" w:type="dxa"/>
          </w:tblCellMar>
        </w:tblPrEx>
        <w:tc>
          <w:tcPr>
            <w:tcW w:w="3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7C" w:rsidRDefault="00575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THÀNH VIÊN HĐQT</w:t>
            </w: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575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 )</w:t>
            </w: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57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HỒ HƠN</w:t>
            </w:r>
          </w:p>
        </w:tc>
        <w:tc>
          <w:tcPr>
            <w:tcW w:w="3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7C" w:rsidRDefault="00575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THÀNH VIÊN HĐQT</w:t>
            </w: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575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 )</w:t>
            </w: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57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TRẦN </w:t>
            </w:r>
            <w:r>
              <w:rPr>
                <w:b/>
                <w:sz w:val="20"/>
                <w:szCs w:val="20"/>
              </w:rPr>
              <w:t>THÁI THUẬN</w:t>
            </w:r>
          </w:p>
        </w:tc>
        <w:tc>
          <w:tcPr>
            <w:tcW w:w="3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7C" w:rsidRDefault="00575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THÀNH VIÊN HĐQT</w:t>
            </w: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575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 )</w:t>
            </w: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57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LÊ MẠNH</w:t>
            </w:r>
          </w:p>
        </w:tc>
      </w:tr>
    </w:tbl>
    <w:p w:rsidR="00492E7C" w:rsidRDefault="00492E7C"/>
    <w:p w:rsidR="00492E7C" w:rsidRDefault="00492E7C"/>
    <w:tbl>
      <w:tblPr>
        <w:tblW w:w="9257" w:type="dxa"/>
        <w:tblCellMar>
          <w:left w:w="10" w:type="dxa"/>
          <w:right w:w="10" w:type="dxa"/>
        </w:tblCellMar>
        <w:tblLook w:val="0000"/>
      </w:tblPr>
      <w:tblGrid>
        <w:gridCol w:w="4626"/>
        <w:gridCol w:w="4631"/>
      </w:tblGrid>
      <w:tr w:rsidR="00492E7C">
        <w:tblPrEx>
          <w:tblCellMar>
            <w:top w:w="0" w:type="dxa"/>
            <w:bottom w:w="0" w:type="dxa"/>
          </w:tblCellMar>
        </w:tblPrEx>
        <w:tc>
          <w:tcPr>
            <w:tcW w:w="4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7C" w:rsidRDefault="00575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THÀNH VIÊN HĐQT</w:t>
            </w: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575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 )</w:t>
            </w: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57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HOÀNG NGỌC LỘC</w:t>
            </w:r>
          </w:p>
        </w:tc>
        <w:tc>
          <w:tcPr>
            <w:tcW w:w="4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7C" w:rsidRDefault="00575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CHỦ TỊCH HĐQT</w:t>
            </w:r>
          </w:p>
          <w:p w:rsidR="00492E7C" w:rsidRDefault="00575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575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Đa</w:t>
            </w:r>
            <w:proofErr w:type="spellEnd"/>
            <w:r>
              <w:rPr>
                <w:sz w:val="22"/>
              </w:rPr>
              <w:t xml:space="preserve">̃ </w:t>
            </w:r>
            <w:proofErr w:type="spellStart"/>
            <w:r>
              <w:rPr>
                <w:sz w:val="22"/>
              </w:rPr>
              <w:t>ky</w:t>
            </w:r>
            <w:proofErr w:type="spellEnd"/>
            <w:r>
              <w:rPr>
                <w:sz w:val="22"/>
              </w:rPr>
              <w:t>́ )</w:t>
            </w: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492E7C">
            <w:pPr>
              <w:jc w:val="center"/>
              <w:rPr>
                <w:sz w:val="22"/>
              </w:rPr>
            </w:pPr>
          </w:p>
          <w:p w:rsidR="00492E7C" w:rsidRDefault="0057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NGUYỄN VĂN CẦN</w:t>
            </w:r>
          </w:p>
        </w:tc>
      </w:tr>
    </w:tbl>
    <w:p w:rsidR="00492E7C" w:rsidRDefault="00492E7C">
      <w:pPr>
        <w:rPr>
          <w:b/>
          <w:sz w:val="20"/>
          <w:szCs w:val="20"/>
        </w:rPr>
      </w:pPr>
    </w:p>
    <w:sectPr w:rsidR="00492E7C" w:rsidSect="00492E7C">
      <w:footerReference w:type="default" r:id="rId7"/>
      <w:pgSz w:w="11907" w:h="16839"/>
      <w:pgMar w:top="864" w:right="1138" w:bottom="259" w:left="17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7C" w:rsidRDefault="00492E7C" w:rsidP="00492E7C">
      <w:r>
        <w:separator/>
      </w:r>
    </w:p>
  </w:endnote>
  <w:endnote w:type="continuationSeparator" w:id="0">
    <w:p w:rsidR="00492E7C" w:rsidRDefault="00492E7C" w:rsidP="0049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bangkok">
    <w:charset w:val="00"/>
    <w:family w:val="swiss"/>
    <w:pitch w:val="variable"/>
    <w:sig w:usb0="00000000" w:usb1="00000000" w:usb2="00000000" w:usb3="00000000" w:csb0="00000000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7C" w:rsidRDefault="00492E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7C" w:rsidRDefault="005759C9" w:rsidP="00492E7C">
      <w:r w:rsidRPr="00492E7C">
        <w:rPr>
          <w:color w:val="000000"/>
        </w:rPr>
        <w:separator/>
      </w:r>
    </w:p>
  </w:footnote>
  <w:footnote w:type="continuationSeparator" w:id="0">
    <w:p w:rsidR="00492E7C" w:rsidRDefault="00492E7C" w:rsidP="00492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87B5F"/>
    <w:multiLevelType w:val="multilevel"/>
    <w:tmpl w:val="8556C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D1D57"/>
    <w:multiLevelType w:val="multilevel"/>
    <w:tmpl w:val="AF2833F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E7C"/>
    <w:rsid w:val="00492E7C"/>
    <w:rsid w:val="0057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E7C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rsid w:val="00492E7C"/>
    <w:pPr>
      <w:keepNext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rsid w:val="00492E7C"/>
    <w:pPr>
      <w:keepNext/>
      <w:ind w:left="4320"/>
      <w:outlineLvl w:val="1"/>
    </w:pPr>
    <w:rPr>
      <w:rFonts w:ascii="VNbangkok" w:hAnsi="VNbangkok"/>
      <w:i/>
      <w:iCs/>
      <w:sz w:val="26"/>
      <w:szCs w:val="20"/>
    </w:rPr>
  </w:style>
  <w:style w:type="paragraph" w:styleId="Heading6">
    <w:name w:val="heading 6"/>
    <w:basedOn w:val="Normal"/>
    <w:next w:val="Normal"/>
    <w:rsid w:val="00492E7C"/>
    <w:pPr>
      <w:keepNext/>
      <w:jc w:val="center"/>
      <w:outlineLvl w:val="5"/>
    </w:pPr>
    <w:rPr>
      <w:rFonts w:ascii="VNtimes new roman" w:hAnsi="VN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92E7C"/>
    <w:pPr>
      <w:ind w:firstLine="720"/>
      <w:jc w:val="both"/>
    </w:pPr>
    <w:rPr>
      <w:rFonts w:ascii="VNtimes new roman" w:hAnsi="VNtimes new roman"/>
      <w:sz w:val="28"/>
      <w:szCs w:val="20"/>
    </w:rPr>
  </w:style>
  <w:style w:type="paragraph" w:styleId="EndnoteText">
    <w:name w:val="endnote text"/>
    <w:basedOn w:val="Normal"/>
    <w:rsid w:val="00492E7C"/>
    <w:rPr>
      <w:sz w:val="20"/>
      <w:szCs w:val="20"/>
    </w:rPr>
  </w:style>
  <w:style w:type="paragraph" w:styleId="Footer">
    <w:name w:val="footer"/>
    <w:basedOn w:val="Normal"/>
    <w:rsid w:val="00492E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2E7C"/>
  </w:style>
  <w:style w:type="character" w:styleId="EndnoteReference">
    <w:name w:val="endnote reference"/>
    <w:basedOn w:val="DefaultParagraphFont"/>
    <w:rsid w:val="00492E7C"/>
    <w:rPr>
      <w:position w:val="0"/>
      <w:vertAlign w:val="superscript"/>
    </w:rPr>
  </w:style>
  <w:style w:type="paragraph" w:styleId="FootnoteText">
    <w:name w:val="footnote text"/>
    <w:basedOn w:val="Normal"/>
    <w:rsid w:val="00492E7C"/>
    <w:rPr>
      <w:sz w:val="20"/>
      <w:szCs w:val="20"/>
    </w:rPr>
  </w:style>
  <w:style w:type="character" w:styleId="FootnoteReference">
    <w:name w:val="footnote reference"/>
    <w:basedOn w:val="DefaultParagraphFont"/>
    <w:rsid w:val="00492E7C"/>
    <w:rPr>
      <w:position w:val="0"/>
      <w:vertAlign w:val="superscript"/>
    </w:rPr>
  </w:style>
  <w:style w:type="paragraph" w:styleId="BodyText">
    <w:name w:val="Body Text"/>
    <w:basedOn w:val="Normal"/>
    <w:rsid w:val="00492E7C"/>
    <w:pPr>
      <w:jc w:val="center"/>
    </w:pPr>
    <w:rPr>
      <w:b/>
      <w:i/>
      <w:iCs/>
    </w:rPr>
  </w:style>
  <w:style w:type="paragraph" w:styleId="NormalWeb">
    <w:name w:val="Normal (Web)"/>
    <w:basedOn w:val="Normal"/>
    <w:rsid w:val="00492E7C"/>
    <w:pPr>
      <w:spacing w:before="100" w:after="100"/>
    </w:pPr>
  </w:style>
  <w:style w:type="paragraph" w:styleId="Header">
    <w:name w:val="header"/>
    <w:basedOn w:val="Normal"/>
    <w:rsid w:val="00492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492E7C"/>
    <w:rPr>
      <w:sz w:val="24"/>
      <w:szCs w:val="24"/>
    </w:rPr>
  </w:style>
  <w:style w:type="character" w:customStyle="1" w:styleId="FooterChar">
    <w:name w:val="Footer Char"/>
    <w:basedOn w:val="DefaultParagraphFont"/>
    <w:rsid w:val="00492E7C"/>
    <w:rPr>
      <w:sz w:val="24"/>
      <w:szCs w:val="24"/>
    </w:rPr>
  </w:style>
  <w:style w:type="character" w:styleId="LineNumber">
    <w:name w:val="line number"/>
    <w:basedOn w:val="DefaultParagraphFont"/>
    <w:rsid w:val="00492E7C"/>
  </w:style>
  <w:style w:type="paragraph" w:styleId="ListParagraph">
    <w:name w:val="List Paragraph"/>
    <w:basedOn w:val="Normal"/>
    <w:rsid w:val="00492E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CTY CP SÁCH TBTH ĐÀ NẴNG              CỘNG HÒA XÃ HỘI CHỦ NGHĨA VIỆT NAM</dc:title>
  <dc:creator>User</dc:creator>
  <cp:lastModifiedBy>Admin</cp:lastModifiedBy>
  <cp:revision>2</cp:revision>
  <cp:lastPrinted>2013-04-23T04:09:00Z</cp:lastPrinted>
  <dcterms:created xsi:type="dcterms:W3CDTF">2013-04-24T04:17:00Z</dcterms:created>
  <dcterms:modified xsi:type="dcterms:W3CDTF">2013-04-24T04:17:00Z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11f8769aaad4b89a6ea20a85d8e57d0.psdsxs" Id="Rf68a230a093f406f" /></Relationships>
</file>