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9caca016014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220"/>
      </w:tblGrid>
      <w:tr w:rsidR="00D63477" w:rsidRPr="001630E3" w:rsidTr="00947C94">
        <w:tc>
          <w:tcPr>
            <w:tcW w:w="4428" w:type="dxa"/>
          </w:tcPr>
          <w:p w:rsidR="00D63477" w:rsidRPr="001630E3" w:rsidRDefault="00D63477" w:rsidP="00947C94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>CÔNG TY CỔ PHẦN SÁCH VÀ THIẾT BỊ TRƯỜNG HỌC ĐÀ NẴNG</w:t>
            </w:r>
          </w:p>
          <w:p w:rsidR="00D63477" w:rsidRPr="00A61D8A" w:rsidRDefault="00D63477" w:rsidP="00947C94">
            <w:pPr>
              <w:jc w:val="center"/>
            </w:pPr>
            <w:r>
              <w:t>------------------------</w:t>
            </w:r>
          </w:p>
          <w:p w:rsidR="00D63477" w:rsidRPr="001630E3" w:rsidRDefault="00D63477" w:rsidP="00947C9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>: 04</w:t>
            </w:r>
            <w:r w:rsidRPr="001630E3">
              <w:rPr>
                <w:b/>
                <w:sz w:val="22"/>
                <w:szCs w:val="22"/>
              </w:rPr>
              <w:t>/NQ/HĐQT</w:t>
            </w:r>
          </w:p>
        </w:tc>
        <w:tc>
          <w:tcPr>
            <w:tcW w:w="5220" w:type="dxa"/>
          </w:tcPr>
          <w:p w:rsidR="00D63477" w:rsidRPr="001630E3" w:rsidRDefault="00D63477" w:rsidP="00947C94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630E3">
                  <w:rPr>
                    <w:rFonts w:ascii="Times New Roman" w:hAnsi="Times New Roman"/>
                    <w:b/>
                    <w:i w:val="0"/>
                    <w:sz w:val="22"/>
                    <w:szCs w:val="22"/>
                  </w:rPr>
                  <w:t>NAM</w:t>
                </w:r>
              </w:smartTag>
            </w:smartTag>
          </w:p>
          <w:p w:rsidR="00D63477" w:rsidRPr="001630E3" w:rsidRDefault="00D63477" w:rsidP="00947C94">
            <w:pPr>
              <w:pBdr>
                <w:bottom w:val="single" w:sz="6" w:space="1" w:color="auto"/>
              </w:pBdr>
              <w:jc w:val="center"/>
              <w:rPr>
                <w:rFonts w:ascii="VNtimes new roman" w:hAnsi="VNtimes new roman"/>
                <w:b/>
              </w:rPr>
            </w:pP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Âäüc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láûp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Tæû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Haûûnh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phuïc</w:t>
            </w:r>
            <w:proofErr w:type="spellEnd"/>
          </w:p>
          <w:p w:rsidR="00D63477" w:rsidRDefault="00D63477" w:rsidP="00947C94">
            <w:pPr>
              <w:jc w:val="center"/>
              <w:rPr>
                <w:rFonts w:ascii="Arial" w:hAnsi="Arial" w:cs="Arial"/>
                <w:i/>
              </w:rPr>
            </w:pPr>
          </w:p>
          <w:p w:rsidR="00D63477" w:rsidRPr="00470371" w:rsidRDefault="00D63477" w:rsidP="00947C94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Đà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Nẵng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04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02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2013</w:t>
            </w:r>
          </w:p>
        </w:tc>
      </w:tr>
    </w:tbl>
    <w:p w:rsidR="00D63477" w:rsidRDefault="00D63477" w:rsidP="00D63477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</w:p>
    <w:p w:rsidR="00D63477" w:rsidRDefault="00D63477" w:rsidP="00D63477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  <w:r>
        <w:rPr>
          <w:rFonts w:ascii="VNtimes new roman" w:hAnsi="VNtimes new roman"/>
          <w:b/>
          <w:i w:val="0"/>
          <w:sz w:val="28"/>
        </w:rPr>
        <w:t>NGHË QUYÃÚT CUÍA HÄÜI ÂÄÖNG QUAÍN TRË</w:t>
      </w:r>
    </w:p>
    <w:p w:rsidR="00D63477" w:rsidRDefault="00D63477" w:rsidP="00D63477">
      <w:pPr>
        <w:rPr>
          <w:b/>
          <w:i/>
          <w:iCs/>
        </w:rPr>
      </w:pPr>
    </w:p>
    <w:p w:rsidR="00D63477" w:rsidRDefault="00D63477" w:rsidP="00D63477">
      <w:pPr>
        <w:ind w:firstLine="720"/>
        <w:jc w:val="both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Trường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Nẵng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kỳ</w:t>
      </w:r>
      <w:proofErr w:type="spellEnd"/>
      <w:r>
        <w:rPr>
          <w:iCs/>
        </w:rPr>
        <w:t xml:space="preserve"> 2012 - 2017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lúc</w:t>
      </w:r>
      <w:proofErr w:type="spellEnd"/>
      <w:r>
        <w:rPr>
          <w:iCs/>
        </w:rPr>
        <w:t xml:space="preserve"> 8 </w:t>
      </w:r>
      <w:proofErr w:type="spellStart"/>
      <w:r>
        <w:rPr>
          <w:iCs/>
        </w:rPr>
        <w:t>giờ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04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02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2013;</w:t>
      </w:r>
    </w:p>
    <w:p w:rsidR="00D63477" w:rsidRDefault="00D63477" w:rsidP="00D63477">
      <w:pPr>
        <w:ind w:firstLine="720"/>
        <w:jc w:val="both"/>
        <w:rPr>
          <w:iCs/>
        </w:rPr>
      </w:pP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5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3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  <w:r>
        <w:rPr>
          <w:iCs/>
        </w:rPr>
        <w:t>.</w:t>
      </w:r>
    </w:p>
    <w:p w:rsidR="00D63477" w:rsidRDefault="00D63477" w:rsidP="00D63477">
      <w:pPr>
        <w:ind w:firstLine="709"/>
        <w:jc w:val="both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,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xét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tài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chính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quí</w:t>
      </w:r>
      <w:proofErr w:type="spellEnd"/>
      <w:r>
        <w:rPr>
          <w:iCs/>
        </w:rPr>
        <w:t xml:space="preserve"> 4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2012 do </w:t>
      </w:r>
      <w:proofErr w:type="spellStart"/>
      <w:r>
        <w:rPr>
          <w:iCs/>
        </w:rPr>
        <w:t>giám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đốc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trình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Sau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khi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bàn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bạc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phân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tích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thảo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luận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đến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nghị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vấn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p w:rsidR="00D63477" w:rsidRDefault="00D63477" w:rsidP="00D63477">
      <w:pPr>
        <w:ind w:firstLine="709"/>
        <w:rPr>
          <w:iCs/>
        </w:rPr>
      </w:pPr>
    </w:p>
    <w:p w:rsidR="00D63477" w:rsidRDefault="00D63477" w:rsidP="00D63477">
      <w:pPr>
        <w:numPr>
          <w:ilvl w:val="0"/>
          <w:numId w:val="1"/>
        </w:numPr>
        <w:rPr>
          <w:iCs/>
        </w:rPr>
      </w:pPr>
      <w:proofErr w:type="spellStart"/>
      <w:r w:rsidRPr="00B812F4">
        <w:rPr>
          <w:iCs/>
        </w:rPr>
        <w:t>Th</w:t>
      </w:r>
      <w:r>
        <w:rPr>
          <w:iCs/>
        </w:rPr>
        <w:t>ông</w:t>
      </w:r>
      <w:proofErr w:type="spellEnd"/>
      <w:r>
        <w:rPr>
          <w:iCs/>
        </w:rPr>
        <w:t xml:space="preserve"> qua </w:t>
      </w:r>
      <w:proofErr w:type="spellStart"/>
      <w:r>
        <w:rPr>
          <w:iCs/>
        </w:rPr>
        <w:t>Báo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tài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chính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2012 </w:t>
      </w:r>
      <w:proofErr w:type="spellStart"/>
      <w:r>
        <w:rPr>
          <w:iCs/>
        </w:rPr>
        <w:t>chưa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được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toán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chỉ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tiêu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chủ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yếu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35"/>
      </w:tblGrid>
      <w:tr w:rsidR="00D63477" w:rsidRPr="00C52E72" w:rsidTr="00947C9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3477" w:rsidRPr="00C52E72" w:rsidRDefault="00D63477" w:rsidP="00947C94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Doanh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thuần</w:t>
            </w:r>
            <w:proofErr w:type="spellEnd"/>
          </w:p>
          <w:p w:rsidR="00D63477" w:rsidRPr="00C52E72" w:rsidRDefault="00D63477" w:rsidP="00947C94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trước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  <w:p w:rsidR="00D63477" w:rsidRPr="00C52E72" w:rsidRDefault="00D63477" w:rsidP="00947C94">
            <w:pPr>
              <w:rPr>
                <w:iCs/>
              </w:rPr>
            </w:pPr>
            <w:proofErr w:type="spellStart"/>
            <w:r w:rsidRPr="00C52E72">
              <w:rPr>
                <w:iCs/>
              </w:rPr>
              <w:t>Lợi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nhuận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sau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thuế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63477" w:rsidRPr="00C52E72" w:rsidRDefault="00D63477" w:rsidP="00947C94">
            <w:pPr>
              <w:jc w:val="right"/>
              <w:rPr>
                <w:iCs/>
              </w:rPr>
            </w:pPr>
            <w:r>
              <w:rPr>
                <w:iCs/>
              </w:rPr>
              <w:t>78.462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D63477" w:rsidRPr="00C52E72" w:rsidRDefault="00D63477" w:rsidP="00947C94">
            <w:pPr>
              <w:jc w:val="right"/>
              <w:rPr>
                <w:iCs/>
              </w:rPr>
            </w:pPr>
            <w:r>
              <w:rPr>
                <w:iCs/>
              </w:rPr>
              <w:t>5.666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  <w:p w:rsidR="00D63477" w:rsidRPr="00C52E72" w:rsidRDefault="00D63477" w:rsidP="00947C94">
            <w:pPr>
              <w:jc w:val="right"/>
              <w:rPr>
                <w:iCs/>
              </w:rPr>
            </w:pPr>
            <w:r>
              <w:rPr>
                <w:iCs/>
              </w:rPr>
              <w:t>4.561</w:t>
            </w:r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triệu</w:t>
            </w:r>
            <w:proofErr w:type="spellEnd"/>
            <w:r w:rsidRPr="00C52E72">
              <w:rPr>
                <w:iCs/>
              </w:rPr>
              <w:t xml:space="preserve"> </w:t>
            </w:r>
            <w:proofErr w:type="spellStart"/>
            <w:r w:rsidRPr="00C52E72">
              <w:rPr>
                <w:iCs/>
              </w:rPr>
              <w:t>đồng</w:t>
            </w:r>
            <w:proofErr w:type="spellEnd"/>
          </w:p>
        </w:tc>
      </w:tr>
    </w:tbl>
    <w:p w:rsidR="00D63477" w:rsidRDefault="00D63477" w:rsidP="00D63477">
      <w:pPr>
        <w:ind w:left="1069"/>
        <w:jc w:val="both"/>
        <w:rPr>
          <w:iCs/>
        </w:rPr>
      </w:pPr>
    </w:p>
    <w:p w:rsidR="00D63477" w:rsidRDefault="00D63477" w:rsidP="00D63477">
      <w:pPr>
        <w:numPr>
          <w:ilvl w:val="0"/>
          <w:numId w:val="1"/>
        </w:numPr>
        <w:jc w:val="both"/>
        <w:rPr>
          <w:iCs/>
        </w:rPr>
      </w:pPr>
      <w:proofErr w:type="spellStart"/>
      <w:r>
        <w:rPr>
          <w:iCs/>
        </w:rPr>
        <w:t>Thực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hiện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ứng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tức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2012 </w:t>
      </w:r>
      <w:proofErr w:type="spellStart"/>
      <w:r>
        <w:rPr>
          <w:iCs/>
        </w:rPr>
        <w:t>với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mức</w:t>
      </w:r>
      <w:proofErr w:type="spellEnd"/>
      <w:r>
        <w:rPr>
          <w:iCs/>
        </w:rPr>
        <w:t xml:space="preserve"> 12,6% (12.600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/ 1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>)</w:t>
      </w:r>
    </w:p>
    <w:p w:rsidR="00D63477" w:rsidRDefault="00D63477" w:rsidP="00D63477">
      <w:pPr>
        <w:ind w:left="1069" w:firstLine="371"/>
        <w:jc w:val="both"/>
      </w:pPr>
    </w:p>
    <w:p w:rsidR="00D63477" w:rsidRDefault="00D63477" w:rsidP="00D63477">
      <w:pPr>
        <w:numPr>
          <w:ilvl w:val="0"/>
          <w:numId w:val="1"/>
        </w:numPr>
        <w:jc w:val="both"/>
        <w:rPr>
          <w:iCs/>
        </w:rPr>
      </w:pPr>
      <w:proofErr w:type="spellStart"/>
      <w:r>
        <w:rPr>
          <w:iCs/>
        </w:rPr>
        <w:t>Điều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chỉnh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kế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lợi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nhuận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kế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tức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2013 </w:t>
      </w:r>
      <w:proofErr w:type="spellStart"/>
      <w:r>
        <w:rPr>
          <w:iCs/>
        </w:rPr>
        <w:t>như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p w:rsidR="00D63477" w:rsidRDefault="00D63477" w:rsidP="00D63477">
      <w:pPr>
        <w:pStyle w:val="ListParagraph"/>
        <w:rPr>
          <w:iCs/>
        </w:rPr>
      </w:pPr>
    </w:p>
    <w:tbl>
      <w:tblPr>
        <w:tblW w:w="8111" w:type="dxa"/>
        <w:tblInd w:w="1069" w:type="dxa"/>
        <w:tblLook w:val="04A0"/>
      </w:tblPr>
      <w:tblGrid>
        <w:gridCol w:w="2677"/>
        <w:gridCol w:w="3166"/>
        <w:gridCol w:w="2268"/>
      </w:tblGrid>
      <w:tr w:rsidR="00D63477" w:rsidRPr="009E6B4F" w:rsidTr="00947C94">
        <w:tc>
          <w:tcPr>
            <w:tcW w:w="2677" w:type="dxa"/>
            <w:vAlign w:val="center"/>
          </w:tcPr>
          <w:p w:rsidR="00D63477" w:rsidRPr="009E6B4F" w:rsidRDefault="00D63477" w:rsidP="00947C94">
            <w:pPr>
              <w:rPr>
                <w:iCs/>
              </w:rPr>
            </w:pPr>
            <w:proofErr w:type="spellStart"/>
            <w:r w:rsidRPr="009E6B4F">
              <w:rPr>
                <w:iCs/>
              </w:rPr>
              <w:t>Chỉ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tiêu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kế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hoạch</w:t>
            </w:r>
            <w:proofErr w:type="spellEnd"/>
          </w:p>
        </w:tc>
        <w:tc>
          <w:tcPr>
            <w:tcW w:w="3166" w:type="dxa"/>
          </w:tcPr>
          <w:p w:rsidR="00D63477" w:rsidRPr="009E6B4F" w:rsidRDefault="00D63477" w:rsidP="00947C94">
            <w:pPr>
              <w:jc w:val="center"/>
              <w:rPr>
                <w:iCs/>
              </w:rPr>
            </w:pPr>
            <w:proofErr w:type="spellStart"/>
            <w:r w:rsidRPr="009E6B4F">
              <w:rPr>
                <w:iCs/>
              </w:rPr>
              <w:t>Nghị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quyết</w:t>
            </w:r>
            <w:proofErr w:type="spellEnd"/>
            <w:r w:rsidRPr="009E6B4F">
              <w:rPr>
                <w:iCs/>
              </w:rPr>
              <w:t xml:space="preserve"> 03/NQ/HĐQT </w:t>
            </w:r>
            <w:proofErr w:type="spellStart"/>
            <w:r w:rsidRPr="009E6B4F">
              <w:rPr>
                <w:iCs/>
              </w:rPr>
              <w:t>ngày</w:t>
            </w:r>
            <w:proofErr w:type="spellEnd"/>
            <w:r w:rsidRPr="009E6B4F">
              <w:rPr>
                <w:iCs/>
              </w:rPr>
              <w:t xml:space="preserve"> 26/10/2012 </w:t>
            </w:r>
            <w:proofErr w:type="spellStart"/>
            <w:r w:rsidRPr="009E6B4F">
              <w:rPr>
                <w:iCs/>
              </w:rPr>
              <w:t>đã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thông</w:t>
            </w:r>
            <w:proofErr w:type="spellEnd"/>
            <w:r w:rsidRPr="009E6B4F">
              <w:rPr>
                <w:iCs/>
              </w:rPr>
              <w:t xml:space="preserve"> qua</w:t>
            </w:r>
          </w:p>
        </w:tc>
        <w:tc>
          <w:tcPr>
            <w:tcW w:w="2268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proofErr w:type="spellStart"/>
            <w:r w:rsidRPr="009E6B4F">
              <w:rPr>
                <w:iCs/>
              </w:rPr>
              <w:t>Số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liệu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điều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chỉnh</w:t>
            </w:r>
            <w:proofErr w:type="spellEnd"/>
          </w:p>
        </w:tc>
      </w:tr>
      <w:tr w:rsidR="00D63477" w:rsidRPr="009E6B4F" w:rsidTr="00947C94">
        <w:tc>
          <w:tcPr>
            <w:tcW w:w="2677" w:type="dxa"/>
          </w:tcPr>
          <w:p w:rsidR="00D63477" w:rsidRPr="009E6B4F" w:rsidRDefault="00D63477" w:rsidP="00947C94">
            <w:pPr>
              <w:jc w:val="both"/>
              <w:rPr>
                <w:iCs/>
              </w:rPr>
            </w:pPr>
            <w:proofErr w:type="spellStart"/>
            <w:r w:rsidRPr="009E6B4F">
              <w:rPr>
                <w:iCs/>
              </w:rPr>
              <w:t>Doanh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thu</w:t>
            </w:r>
            <w:proofErr w:type="spellEnd"/>
          </w:p>
        </w:tc>
        <w:tc>
          <w:tcPr>
            <w:tcW w:w="3166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75.000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  <w:tc>
          <w:tcPr>
            <w:tcW w:w="2268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75.000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</w:tr>
      <w:tr w:rsidR="00D63477" w:rsidRPr="009E6B4F" w:rsidTr="00947C94">
        <w:tc>
          <w:tcPr>
            <w:tcW w:w="2677" w:type="dxa"/>
          </w:tcPr>
          <w:p w:rsidR="00D63477" w:rsidRPr="009E6B4F" w:rsidRDefault="00D63477" w:rsidP="00947C94">
            <w:pPr>
              <w:jc w:val="both"/>
              <w:rPr>
                <w:iCs/>
              </w:rPr>
            </w:pPr>
            <w:proofErr w:type="spellStart"/>
            <w:r w:rsidRPr="009E6B4F">
              <w:rPr>
                <w:iCs/>
              </w:rPr>
              <w:t>Lợi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nhuận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trước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thuế</w:t>
            </w:r>
            <w:proofErr w:type="spellEnd"/>
          </w:p>
        </w:tc>
        <w:tc>
          <w:tcPr>
            <w:tcW w:w="3166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5.200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  <w:tc>
          <w:tcPr>
            <w:tcW w:w="2268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5.000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</w:tr>
      <w:tr w:rsidR="00D63477" w:rsidRPr="009E6B4F" w:rsidTr="00947C94">
        <w:tc>
          <w:tcPr>
            <w:tcW w:w="2677" w:type="dxa"/>
          </w:tcPr>
          <w:p w:rsidR="00D63477" w:rsidRPr="009E6B4F" w:rsidRDefault="00D63477" w:rsidP="00947C94">
            <w:pPr>
              <w:jc w:val="both"/>
              <w:rPr>
                <w:iCs/>
              </w:rPr>
            </w:pPr>
            <w:proofErr w:type="spellStart"/>
            <w:r w:rsidRPr="009E6B4F">
              <w:rPr>
                <w:iCs/>
              </w:rPr>
              <w:t>Lợi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nhuận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sau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thuế</w:t>
            </w:r>
            <w:proofErr w:type="spellEnd"/>
          </w:p>
        </w:tc>
        <w:tc>
          <w:tcPr>
            <w:tcW w:w="3166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4.400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  <w:tc>
          <w:tcPr>
            <w:tcW w:w="2268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 xml:space="preserve">4.000 </w:t>
            </w:r>
            <w:proofErr w:type="spellStart"/>
            <w:r w:rsidRPr="009E6B4F">
              <w:rPr>
                <w:iCs/>
              </w:rPr>
              <w:t>triệu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đồng</w:t>
            </w:r>
            <w:proofErr w:type="spellEnd"/>
          </w:p>
        </w:tc>
      </w:tr>
      <w:tr w:rsidR="00D63477" w:rsidRPr="009E6B4F" w:rsidTr="00947C94">
        <w:tc>
          <w:tcPr>
            <w:tcW w:w="2677" w:type="dxa"/>
          </w:tcPr>
          <w:p w:rsidR="00D63477" w:rsidRPr="009E6B4F" w:rsidRDefault="00D63477" w:rsidP="00947C94">
            <w:pPr>
              <w:jc w:val="both"/>
              <w:rPr>
                <w:iCs/>
              </w:rPr>
            </w:pPr>
            <w:proofErr w:type="spellStart"/>
            <w:r w:rsidRPr="009E6B4F">
              <w:rPr>
                <w:iCs/>
              </w:rPr>
              <w:t>Cổ</w:t>
            </w:r>
            <w:proofErr w:type="spellEnd"/>
            <w:r w:rsidRPr="009E6B4F">
              <w:rPr>
                <w:iCs/>
              </w:rPr>
              <w:t xml:space="preserve"> </w:t>
            </w:r>
            <w:proofErr w:type="spellStart"/>
            <w:r w:rsidRPr="009E6B4F">
              <w:rPr>
                <w:iCs/>
              </w:rPr>
              <w:t>tức</w:t>
            </w:r>
            <w:proofErr w:type="spellEnd"/>
          </w:p>
        </w:tc>
        <w:tc>
          <w:tcPr>
            <w:tcW w:w="3166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>12,55%</w:t>
            </w:r>
          </w:p>
        </w:tc>
        <w:tc>
          <w:tcPr>
            <w:tcW w:w="2268" w:type="dxa"/>
            <w:vAlign w:val="center"/>
          </w:tcPr>
          <w:p w:rsidR="00D63477" w:rsidRPr="009E6B4F" w:rsidRDefault="00D63477" w:rsidP="00947C94">
            <w:pPr>
              <w:jc w:val="right"/>
              <w:rPr>
                <w:iCs/>
              </w:rPr>
            </w:pPr>
            <w:r w:rsidRPr="009E6B4F">
              <w:rPr>
                <w:iCs/>
              </w:rPr>
              <w:t>11,39%</w:t>
            </w:r>
          </w:p>
        </w:tc>
      </w:tr>
    </w:tbl>
    <w:p w:rsidR="00D63477" w:rsidRDefault="00D63477" w:rsidP="00D63477">
      <w:pPr>
        <w:pStyle w:val="ListParagraph"/>
      </w:pPr>
    </w:p>
    <w:p w:rsidR="00D63477" w:rsidRPr="00DF1BC6" w:rsidRDefault="00D63477" w:rsidP="00D63477">
      <w:pPr>
        <w:numPr>
          <w:ilvl w:val="0"/>
          <w:numId w:val="1"/>
        </w:numPr>
        <w:jc w:val="both"/>
        <w:rPr>
          <w:iCs/>
        </w:rPr>
      </w:pP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D63477" w:rsidRDefault="00D63477" w:rsidP="00D63477"/>
    <w:p w:rsidR="00D63477" w:rsidRDefault="00D63477" w:rsidP="00D63477"/>
    <w:tbl>
      <w:tblPr>
        <w:tblW w:w="0" w:type="auto"/>
        <w:tblLook w:val="01E0"/>
      </w:tblPr>
      <w:tblGrid>
        <w:gridCol w:w="3062"/>
        <w:gridCol w:w="3097"/>
        <w:gridCol w:w="3098"/>
      </w:tblGrid>
      <w:tr w:rsidR="00D63477" w:rsidTr="00947C94">
        <w:tc>
          <w:tcPr>
            <w:tcW w:w="3062" w:type="dxa"/>
          </w:tcPr>
          <w:p w:rsidR="00D63477" w:rsidRDefault="00D63477" w:rsidP="00947C94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Pr="00BC5C50" w:rsidRDefault="00D63477" w:rsidP="00947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HỒ HƠN</w:t>
            </w:r>
          </w:p>
        </w:tc>
        <w:tc>
          <w:tcPr>
            <w:tcW w:w="3097" w:type="dxa"/>
          </w:tcPr>
          <w:p w:rsidR="00D63477" w:rsidRDefault="00D63477" w:rsidP="00947C94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Pr="00BC5C50" w:rsidRDefault="00D63477" w:rsidP="00947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TRẦN THÁI THUẬN</w:t>
            </w:r>
          </w:p>
        </w:tc>
        <w:tc>
          <w:tcPr>
            <w:tcW w:w="3098" w:type="dxa"/>
          </w:tcPr>
          <w:p w:rsidR="00D63477" w:rsidRDefault="00D63477" w:rsidP="00947C94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Pr="00BC5C50" w:rsidRDefault="00D63477" w:rsidP="00947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LÊ MẠNH</w:t>
            </w:r>
          </w:p>
        </w:tc>
      </w:tr>
    </w:tbl>
    <w:p w:rsidR="00D63477" w:rsidRDefault="00D63477" w:rsidP="00D63477"/>
    <w:tbl>
      <w:tblPr>
        <w:tblW w:w="0" w:type="auto"/>
        <w:tblLook w:val="01E0"/>
      </w:tblPr>
      <w:tblGrid>
        <w:gridCol w:w="4626"/>
        <w:gridCol w:w="4631"/>
      </w:tblGrid>
      <w:tr w:rsidR="00D63477" w:rsidTr="00947C94">
        <w:tc>
          <w:tcPr>
            <w:tcW w:w="4809" w:type="dxa"/>
          </w:tcPr>
          <w:p w:rsidR="00D63477" w:rsidRDefault="00D63477" w:rsidP="00947C94">
            <w:pPr>
              <w:jc w:val="center"/>
            </w:pPr>
            <w:r>
              <w:rPr>
                <w:sz w:val="22"/>
              </w:rPr>
              <w:t>THÀNH VIÊN HĐQT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Pr="00BC5C50" w:rsidRDefault="00D63477" w:rsidP="00947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HOÀNG NGỌC LỘC</w:t>
            </w:r>
          </w:p>
        </w:tc>
        <w:tc>
          <w:tcPr>
            <w:tcW w:w="4810" w:type="dxa"/>
          </w:tcPr>
          <w:p w:rsidR="00D63477" w:rsidRDefault="00D63477" w:rsidP="00947C94">
            <w:pPr>
              <w:jc w:val="center"/>
            </w:pPr>
            <w:r>
              <w:rPr>
                <w:sz w:val="22"/>
              </w:rPr>
              <w:t>CHỦ TỊCH HĐQT</w:t>
            </w: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 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D63477" w:rsidRDefault="00D63477" w:rsidP="00947C94">
            <w:pPr>
              <w:jc w:val="center"/>
            </w:pPr>
          </w:p>
          <w:p w:rsidR="00D63477" w:rsidRDefault="00D63477" w:rsidP="00947C94">
            <w:pPr>
              <w:jc w:val="center"/>
            </w:pPr>
          </w:p>
          <w:p w:rsidR="00D63477" w:rsidRPr="00BC5C50" w:rsidRDefault="00D63477" w:rsidP="00947C94">
            <w:pPr>
              <w:jc w:val="center"/>
              <w:rPr>
                <w:b/>
                <w:sz w:val="20"/>
                <w:szCs w:val="20"/>
              </w:rPr>
            </w:pPr>
            <w:r w:rsidRPr="00BC5C50">
              <w:rPr>
                <w:b/>
                <w:sz w:val="20"/>
                <w:szCs w:val="20"/>
              </w:rPr>
              <w:t>NGUYỄN VĂN CẦN</w:t>
            </w:r>
          </w:p>
        </w:tc>
      </w:tr>
    </w:tbl>
    <w:p w:rsidR="00D63477" w:rsidRDefault="00D63477" w:rsidP="00D63477">
      <w:pPr>
        <w:rPr>
          <w:b/>
          <w:sz w:val="18"/>
          <w:szCs w:val="18"/>
        </w:rPr>
      </w:pPr>
    </w:p>
    <w:sectPr w:rsidR="00D63477" w:rsidSect="00273923">
      <w:footerReference w:type="even" r:id="rId7"/>
      <w:footerReference w:type="default" r:id="rId8"/>
      <w:pgSz w:w="11907" w:h="16839" w:code="9"/>
      <w:pgMar w:top="864" w:right="1138" w:bottom="259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87" w:rsidRDefault="00405487" w:rsidP="00405487">
      <w:r>
        <w:separator/>
      </w:r>
    </w:p>
  </w:endnote>
  <w:endnote w:type="continuationSeparator" w:id="0">
    <w:p w:rsidR="00405487" w:rsidRDefault="00405487" w:rsidP="0040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bangkok">
    <w:altName w:val="Courier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8" w:rsidRDefault="0040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4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2A8" w:rsidRDefault="00BA15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8" w:rsidRDefault="00BA15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87" w:rsidRDefault="00405487" w:rsidP="00405487">
      <w:r>
        <w:separator/>
      </w:r>
    </w:p>
  </w:footnote>
  <w:footnote w:type="continuationSeparator" w:id="0">
    <w:p w:rsidR="00405487" w:rsidRDefault="00405487" w:rsidP="0040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9AD"/>
    <w:multiLevelType w:val="hybridMultilevel"/>
    <w:tmpl w:val="080ACA1A"/>
    <w:lvl w:ilvl="0" w:tplc="A1C8F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77"/>
    <w:rsid w:val="00082440"/>
    <w:rsid w:val="00405487"/>
    <w:rsid w:val="00BA1563"/>
    <w:rsid w:val="00D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3477"/>
    <w:pPr>
      <w:keepNext/>
      <w:ind w:left="4320"/>
      <w:outlineLvl w:val="1"/>
    </w:pPr>
    <w:rPr>
      <w:rFonts w:ascii="VNbangkok" w:hAnsi="VNbangkok"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3477"/>
    <w:rPr>
      <w:rFonts w:ascii="VNbangkok" w:eastAsia="Times New Roman" w:hAnsi="VNbangkok" w:cs="Times New Roman"/>
      <w:i/>
      <w:iCs/>
      <w:sz w:val="26"/>
      <w:szCs w:val="20"/>
    </w:rPr>
  </w:style>
  <w:style w:type="paragraph" w:styleId="Footer">
    <w:name w:val="footer"/>
    <w:basedOn w:val="Normal"/>
    <w:link w:val="FooterChar"/>
    <w:uiPriority w:val="99"/>
    <w:rsid w:val="00D63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3477"/>
  </w:style>
  <w:style w:type="paragraph" w:styleId="ListParagraph">
    <w:name w:val="List Paragraph"/>
    <w:basedOn w:val="Normal"/>
    <w:uiPriority w:val="34"/>
    <w:qFormat/>
    <w:rsid w:val="00D63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2013-02-04T08:28:00Z</dcterms:created>
  <dcterms:modified xsi:type="dcterms:W3CDTF">2013-02-04T08:28:00Z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eea237992f74f78bce3e824d23faa2a.psdsxs" Id="Rf985ff387dd6496f" /></Relationships>
</file>